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BD" w:rsidRPr="00D74434" w:rsidRDefault="00620DBD" w:rsidP="00620DBD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18941727"/>
      <w:bookmarkStart w:id="1" w:name="_Hlk520902622"/>
      <w:r>
        <w:rPr>
          <w:rFonts w:ascii="Times New Roman" w:hAnsi="Times New Roman"/>
          <w:b/>
          <w:szCs w:val="24"/>
          <w:u w:val="single"/>
        </w:rPr>
        <w:t>5</w:t>
      </w:r>
      <w:r w:rsidRPr="00D74434">
        <w:rPr>
          <w:rFonts w:ascii="Times New Roman" w:hAnsi="Times New Roman"/>
          <w:b/>
          <w:szCs w:val="24"/>
          <w:u w:val="single"/>
        </w:rPr>
        <w:t>%</w:t>
      </w:r>
    </w:p>
    <w:bookmarkEnd w:id="1"/>
    <w:p w:rsidR="00620DBD" w:rsidRDefault="00620DBD" w:rsidP="00620DBD">
      <w:pPr>
        <w:jc w:val="both"/>
        <w:rPr>
          <w:rFonts w:ascii="Times New Roman" w:hAnsi="Times New Roman"/>
          <w:sz w:val="22"/>
          <w:szCs w:val="22"/>
        </w:rPr>
      </w:pP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O Sind-UTE/MG- Sindicato Único dos Trabalhadores em Educação e Minas Gerais - ajuizou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ações requerendo a devolução dos valores relacionados ao 5% que foi pleiteando a restituição das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diferenças de seus demonstrativos de pagamento, para quem optou por retornar ao regime anterior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que era composto o vencimento básico e vantagens, observando a prescrição quinquenal no que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coubesse, no percentual de 5,0% sobre o vencimento, com juros de mora nos termos de lei e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 xml:space="preserve">correção monetária. Esta luta foi </w:t>
      </w:r>
      <w:proofErr w:type="gramStart"/>
      <w:r w:rsidRPr="00D60B30">
        <w:rPr>
          <w:rFonts w:ascii="Times New Roman" w:hAnsi="Times New Roman"/>
          <w:sz w:val="22"/>
          <w:szCs w:val="22"/>
        </w:rPr>
        <w:t>bem sucedida</w:t>
      </w:r>
      <w:proofErr w:type="gramEnd"/>
      <w:r w:rsidRPr="00D60B30">
        <w:rPr>
          <w:rFonts w:ascii="Times New Roman" w:hAnsi="Times New Roman"/>
          <w:sz w:val="22"/>
          <w:szCs w:val="22"/>
        </w:rPr>
        <w:t xml:space="preserve"> e uma grande parte destes trabalhadores já recebeu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seus créditos. Ainda temos processos em fase de execução, mas há processos concluídos e que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apesar dos esforços do Sind-UTE/MG, os autores ainda não foram localizados para receberem os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créditos a que tem direito.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Neste sentido, solicitamos o empenho desta Subsede para localizar os seguintes servidores da sua</w:t>
      </w:r>
    </w:p>
    <w:p w:rsidR="00620DBD" w:rsidRPr="00D60B30" w:rsidRDefault="00620DBD" w:rsidP="00620DBD">
      <w:pPr>
        <w:jc w:val="both"/>
        <w:rPr>
          <w:rFonts w:ascii="Times New Roman" w:hAnsi="Times New Roman"/>
          <w:sz w:val="22"/>
          <w:szCs w:val="22"/>
        </w:rPr>
      </w:pPr>
      <w:r w:rsidRPr="00D60B30">
        <w:rPr>
          <w:rFonts w:ascii="Times New Roman" w:hAnsi="Times New Roman"/>
          <w:sz w:val="22"/>
          <w:szCs w:val="22"/>
        </w:rPr>
        <w:t>área de abrangência:</w:t>
      </w:r>
    </w:p>
    <w:bookmarkEnd w:id="0"/>
    <w:p w:rsidR="00DC7B18" w:rsidRDefault="00DC7B18"/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620DBD" w:rsidRPr="00620DBD" w:rsidTr="00620DBD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620DBD">
              <w:rPr>
                <w:rFonts w:ascii="Arial" w:hAnsi="Arial" w:cs="Arial"/>
                <w:sz w:val="20"/>
                <w:lang w:eastAsia="pt-BR"/>
              </w:rPr>
              <w:t>Elsa Antônia da Silva Borges</w:t>
            </w:r>
          </w:p>
        </w:tc>
      </w:tr>
      <w:tr w:rsidR="00620DBD" w:rsidRPr="00620DBD" w:rsidTr="00620DBD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620DBD">
              <w:rPr>
                <w:rFonts w:ascii="Arial" w:hAnsi="Arial" w:cs="Arial"/>
                <w:sz w:val="20"/>
                <w:lang w:eastAsia="pt-BR"/>
              </w:rPr>
              <w:t>Maria de Fátima Nunes de Oliveira</w:t>
            </w:r>
          </w:p>
        </w:tc>
      </w:tr>
      <w:tr w:rsidR="00620DBD" w:rsidRPr="00620DBD" w:rsidTr="00620DB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620DBD">
              <w:rPr>
                <w:rFonts w:ascii="Arial" w:hAnsi="Arial" w:cs="Arial"/>
                <w:sz w:val="20"/>
                <w:lang w:eastAsia="pt-BR"/>
              </w:rPr>
              <w:t>Marleni</w:t>
            </w:r>
            <w:proofErr w:type="spellEnd"/>
            <w:r w:rsidRPr="00620DBD">
              <w:rPr>
                <w:rFonts w:ascii="Arial" w:hAnsi="Arial" w:cs="Arial"/>
                <w:sz w:val="20"/>
                <w:lang w:eastAsia="pt-BR"/>
              </w:rPr>
              <w:t xml:space="preserve"> Diniz Volpi</w:t>
            </w:r>
          </w:p>
        </w:tc>
      </w:tr>
      <w:tr w:rsidR="00620DBD" w:rsidRPr="00620DBD" w:rsidTr="00620DB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620DBD">
              <w:rPr>
                <w:rFonts w:ascii="Arial" w:hAnsi="Arial" w:cs="Arial"/>
                <w:sz w:val="20"/>
                <w:lang w:eastAsia="pt-BR"/>
              </w:rPr>
              <w:t>Vaner</w:t>
            </w:r>
            <w:proofErr w:type="spellEnd"/>
            <w:r w:rsidRPr="00620DBD">
              <w:rPr>
                <w:rFonts w:ascii="Arial" w:hAnsi="Arial" w:cs="Arial"/>
                <w:sz w:val="20"/>
                <w:lang w:eastAsia="pt-BR"/>
              </w:rPr>
              <w:t xml:space="preserve"> Monteiro de Lima</w:t>
            </w:r>
          </w:p>
        </w:tc>
      </w:tr>
      <w:tr w:rsidR="00620DBD" w:rsidRPr="00620DBD" w:rsidTr="00620DB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620DBD">
              <w:rPr>
                <w:rFonts w:ascii="Arial" w:hAnsi="Arial" w:cs="Arial"/>
                <w:sz w:val="20"/>
                <w:lang w:eastAsia="pt-BR"/>
              </w:rPr>
              <w:t>Vantuilda</w:t>
            </w:r>
            <w:proofErr w:type="spellEnd"/>
            <w:r w:rsidRPr="00620DBD">
              <w:rPr>
                <w:rFonts w:ascii="Arial" w:hAnsi="Arial" w:cs="Arial"/>
                <w:sz w:val="20"/>
                <w:lang w:eastAsia="pt-BR"/>
              </w:rPr>
              <w:t xml:space="preserve"> Alexandra Ernesto Cabral</w:t>
            </w:r>
          </w:p>
        </w:tc>
        <w:bookmarkStart w:id="2" w:name="_GoBack"/>
        <w:bookmarkEnd w:id="2"/>
      </w:tr>
      <w:tr w:rsidR="00620DBD" w:rsidRPr="00620DBD" w:rsidTr="00620DB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BD" w:rsidRPr="00620DBD" w:rsidRDefault="00620DBD" w:rsidP="00620DBD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620DBD">
              <w:rPr>
                <w:rFonts w:ascii="Arial" w:hAnsi="Arial" w:cs="Arial"/>
                <w:sz w:val="20"/>
                <w:lang w:eastAsia="pt-BR"/>
              </w:rPr>
              <w:t>Waldete Silva Peres</w:t>
            </w:r>
          </w:p>
        </w:tc>
      </w:tr>
    </w:tbl>
    <w:p w:rsidR="00620DBD" w:rsidRDefault="00620DBD"/>
    <w:p w:rsidR="00620DBD" w:rsidRDefault="00620DBD" w:rsidP="00620DBD"/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bookmarkStart w:id="3" w:name="_Hlk520902717"/>
      <w:r w:rsidRPr="00726CCA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726CCA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 xml:space="preserve">- Cópia da Carteira de Identidade 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do CPF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Contracheque atual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Dados bancários do beneficiário (Banco/Agência/Conta)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</w:p>
    <w:p w:rsidR="00620DBD" w:rsidRPr="00726CCA" w:rsidRDefault="00620DBD" w:rsidP="00620DBD">
      <w:pPr>
        <w:rPr>
          <w:rFonts w:ascii="Times New Roman" w:hAnsi="Times New Roman"/>
          <w:b/>
          <w:bCs/>
          <w:sz w:val="22"/>
          <w:szCs w:val="22"/>
        </w:rPr>
      </w:pP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Quanto aos autores Falecidos, os herdeiros deverão enviar os seguintes documentos: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3"/>
    </w:p>
    <w:p w:rsidR="00620DBD" w:rsidRPr="00726CCA" w:rsidRDefault="00620DBD" w:rsidP="00620DBD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620DBD" w:rsidRDefault="00620DBD"/>
    <w:sectPr w:rsidR="00620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D"/>
    <w:rsid w:val="00620DBD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85FE"/>
  <w15:chartTrackingRefBased/>
  <w15:docId w15:val="{E7318A09-30C3-43DD-ADED-C39C5DC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DB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2019-09-09T20:15:00Z</dcterms:created>
  <dcterms:modified xsi:type="dcterms:W3CDTF">2019-09-09T20:17:00Z</dcterms:modified>
</cp:coreProperties>
</file>